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860654">
      <w:pPr>
        <w:pStyle w:val="Header"/>
        <w:bidi w:val="0"/>
        <w:jc w:val="right"/>
        <w:divId w:val="1150295282"/>
      </w:pPr>
    </w:p>
    <w:p w:rsidR="00000000" w:rsidRDefault="00860654">
      <w:pPr>
        <w:spacing w:line="360" w:lineRule="auto"/>
        <w:jc w:val="center"/>
        <w:rPr>
          <w:rFonts w:hint="cs"/>
          <w:rtl/>
        </w:rPr>
      </w:pPr>
    </w:p>
    <w:p w:rsidR="00000000" w:rsidRDefault="00860654">
      <w:pPr>
        <w:spacing w:line="360" w:lineRule="auto"/>
        <w:jc w:val="center"/>
        <w:rPr>
          <w:rtl/>
        </w:rPr>
      </w:pPr>
      <w:r>
        <w:rPr>
          <w:rFonts w:cs="Narkisim" w:hint="cs"/>
          <w:b/>
          <w:bCs/>
          <w:sz w:val="30"/>
          <w:szCs w:val="30"/>
          <w:rtl/>
        </w:rPr>
        <w:t>רשות ההגבלים העסקיים</w:t>
      </w:r>
    </w:p>
    <w:p w:rsidR="00000000" w:rsidRDefault="00860654">
      <w:pPr>
        <w:pStyle w:val="BodyText"/>
        <w:spacing w:after="0"/>
        <w:rPr>
          <w:rtl/>
        </w:rPr>
      </w:pPr>
      <w:r>
        <w:rPr>
          <w:rFonts w:hint="cs"/>
          <w:sz w:val="32"/>
          <w:szCs w:val="32"/>
          <w:rtl/>
        </w:rPr>
        <w:t> </w:t>
      </w:r>
    </w:p>
    <w:p w:rsidR="00000000" w:rsidRPr="00860654" w:rsidRDefault="00860654" w:rsidP="00860654">
      <w:pPr>
        <w:pStyle w:val="Title"/>
        <w:jc w:val="center"/>
        <w:rPr>
          <w:b/>
          <w:bCs/>
          <w:sz w:val="32"/>
          <w:szCs w:val="32"/>
          <w:rtl/>
        </w:rPr>
      </w:pPr>
      <w:r w:rsidRPr="00860654">
        <w:rPr>
          <w:rFonts w:hint="cs"/>
          <w:b/>
          <w:bCs/>
          <w:sz w:val="32"/>
          <w:szCs w:val="32"/>
          <w:rtl/>
        </w:rPr>
        <w:t>ביטול הכרזה על בעל מונופולין – בזק בינלאומי בע"מ, בזק החברה הישראלית לתקשורת בע"מ</w:t>
      </w:r>
    </w:p>
    <w:p w:rsidR="00000000" w:rsidRDefault="00860654" w:rsidP="00860654">
      <w:pPr>
        <w:pStyle w:val="Heading1"/>
        <w:rPr>
          <w:rFonts w:eastAsia="Times New Roman"/>
          <w:rtl/>
        </w:rPr>
      </w:pPr>
      <w:r>
        <w:rPr>
          <w:rFonts w:eastAsia="Times New Roman" w:hint="cs"/>
          <w:sz w:val="24"/>
          <w:szCs w:val="24"/>
          <w:rtl/>
        </w:rPr>
        <w:t>א.</w:t>
      </w:r>
      <w:r>
        <w:rPr>
          <w:rFonts w:eastAsia="Times New Roman"/>
          <w:sz w:val="14"/>
          <w:szCs w:val="14"/>
          <w:rtl/>
        </w:rPr>
        <w:t xml:space="preserve">      </w:t>
      </w:r>
      <w:r>
        <w:rPr>
          <w:rFonts w:eastAsia="Times New Roman" w:hint="cs"/>
          <w:rtl/>
        </w:rPr>
        <w:t>פתח דבר</w:t>
      </w:r>
    </w:p>
    <w:p w:rsidR="00000000" w:rsidRDefault="00860654">
      <w:pPr>
        <w:pStyle w:val="Heading1"/>
        <w:spacing w:after="120" w:line="360" w:lineRule="auto"/>
        <w:ind w:left="714" w:hanging="357"/>
        <w:jc w:val="both"/>
        <w:rPr>
          <w:rFonts w:eastAsia="Times New Roman"/>
          <w:rtl/>
        </w:rPr>
      </w:pPr>
      <w:r>
        <w:rPr>
          <w:rFonts w:eastAsia="Times New Roman"/>
          <w:b w:val="0"/>
          <w:bCs w:val="0"/>
          <w:sz w:val="24"/>
          <w:szCs w:val="24"/>
          <w:rtl/>
        </w:rPr>
        <w:t>1.</w:t>
      </w:r>
      <w:r>
        <w:rPr>
          <w:rFonts w:eastAsia="Times New Roman"/>
          <w:b w:val="0"/>
          <w:bCs w:val="0"/>
          <w:sz w:val="14"/>
          <w:szCs w:val="14"/>
          <w:rtl/>
        </w:rPr>
        <w:t xml:space="preserve">      </w:t>
      </w:r>
      <w:r>
        <w:rPr>
          <w:rFonts w:eastAsia="Times New Roman" w:hint="cs"/>
          <w:b w:val="0"/>
          <w:bCs w:val="0"/>
          <w:sz w:val="24"/>
          <w:szCs w:val="24"/>
          <w:rtl/>
        </w:rPr>
        <w:t>ביום 27 ביוני 1995 הוכרזה בזק החברה הישראלית לתקשורת בע"מ (להלן</w:t>
      </w:r>
      <w:r>
        <w:rPr>
          <w:rFonts w:eastAsia="Times New Roman" w:hint="cs"/>
          <w:b w:val="0"/>
          <w:bCs w:val="0"/>
          <w:sz w:val="24"/>
          <w:szCs w:val="24"/>
          <w:rtl/>
        </w:rPr>
        <w:t>: "</w:t>
      </w:r>
      <w:r>
        <w:rPr>
          <w:rFonts w:eastAsia="Times New Roman" w:hint="cs"/>
          <w:sz w:val="24"/>
          <w:szCs w:val="24"/>
          <w:rtl/>
        </w:rPr>
        <w:t>בזק</w:t>
      </w:r>
      <w:r>
        <w:rPr>
          <w:rFonts w:eastAsia="Times New Roman" w:hint="cs"/>
          <w:b w:val="0"/>
          <w:bCs w:val="0"/>
          <w:sz w:val="24"/>
          <w:szCs w:val="24"/>
          <w:rtl/>
        </w:rPr>
        <w:t>") כבעלת מונופולין בתחומים הבאים: שירות טלפון בסיסי, מתן שירותי תשתית התקשורת, מתן שירות טלפון בינלאומי דו כיווני בלתי מסויג לרבות מתן שירות טלפון בינלאומי לשיחות נכנסות ושירותי העברה ותמסורת של שידורים לציבור.</w:t>
      </w:r>
      <w:bookmarkStart w:id="0" w:name="_ftnref1"/>
      <w:r>
        <w:rPr>
          <w:rFonts w:eastAsia="Times New Roman"/>
          <w:rtl/>
        </w:rPr>
        <w:fldChar w:fldCharType="begin"/>
      </w:r>
      <w:r>
        <w:rPr>
          <w:rFonts w:eastAsia="Times New Roman"/>
          <w:rtl/>
        </w:rPr>
        <w:instrText xml:space="preserve"> </w:instrText>
      </w:r>
      <w:r>
        <w:rPr>
          <w:rFonts w:eastAsia="Times New Roman"/>
        </w:rPr>
        <w:instrText>HYPERLINK "" \l "_ftn1" \o</w:instrText>
      </w:r>
      <w:r>
        <w:rPr>
          <w:rFonts w:eastAsia="Times New Roman"/>
          <w:rtl/>
        </w:rPr>
        <w:instrText xml:space="preserve"> ""</w:instrText>
      </w:r>
      <w:r>
        <w:rPr>
          <w:rFonts w:eastAsia="Times New Roman"/>
          <w:rtl/>
        </w:rPr>
        <w:instrText xml:space="preserve"> </w:instrText>
      </w:r>
      <w:r>
        <w:rPr>
          <w:rFonts w:eastAsia="Times New Roman"/>
          <w:rtl/>
        </w:rPr>
        <w:fldChar w:fldCharType="separate"/>
      </w:r>
      <w:r>
        <w:rPr>
          <w:rStyle w:val="FootnoteReference"/>
          <w:rFonts w:eastAsia="Times New Roman" w:cs="David" w:hint="cs"/>
          <w:b w:val="0"/>
          <w:bCs w:val="0"/>
          <w:color w:val="0000FF"/>
          <w:sz w:val="24"/>
          <w:szCs w:val="24"/>
          <w:u w:val="single"/>
        </w:rPr>
        <w:t>[1]</w:t>
      </w:r>
      <w:r>
        <w:rPr>
          <w:rFonts w:eastAsia="Times New Roman"/>
          <w:rtl/>
        </w:rPr>
        <w:fldChar w:fldCharType="end"/>
      </w:r>
      <w:bookmarkEnd w:id="0"/>
      <w:r>
        <w:rPr>
          <w:rFonts w:eastAsia="Times New Roman" w:hint="cs"/>
          <w:b w:val="0"/>
          <w:bCs w:val="0"/>
          <w:sz w:val="24"/>
          <w:szCs w:val="24"/>
          <w:rtl/>
        </w:rPr>
        <w:t xml:space="preserve"> בס</w:t>
      </w:r>
      <w:r>
        <w:rPr>
          <w:rFonts w:eastAsia="Times New Roman" w:hint="cs"/>
          <w:b w:val="0"/>
          <w:bCs w:val="0"/>
          <w:sz w:val="24"/>
          <w:szCs w:val="24"/>
          <w:rtl/>
        </w:rPr>
        <w:t>וף שנת 95 העבירה בזק את פעילותה בתחום שירותי הבזק הבינלאומיים לחברת-הבת, בזק בינלאומי בע"מ (להלן: "</w:t>
      </w:r>
      <w:r>
        <w:rPr>
          <w:rFonts w:eastAsia="Times New Roman" w:hint="cs"/>
          <w:sz w:val="24"/>
          <w:szCs w:val="24"/>
          <w:rtl/>
        </w:rPr>
        <w:t>בזק בינלאומי</w:t>
      </w:r>
      <w:r>
        <w:rPr>
          <w:rFonts w:eastAsia="Times New Roman" w:hint="cs"/>
          <w:b w:val="0"/>
          <w:bCs w:val="0"/>
          <w:sz w:val="24"/>
          <w:szCs w:val="24"/>
          <w:rtl/>
        </w:rPr>
        <w:t>"), וזו ירשה את מעמדה המונופוליסטי של חברת האם.</w:t>
      </w:r>
    </w:p>
    <w:p w:rsidR="00000000" w:rsidRDefault="00860654">
      <w:pPr>
        <w:pStyle w:val="Header"/>
        <w:spacing w:before="120" w:after="120" w:line="360" w:lineRule="auto"/>
        <w:ind w:left="714" w:hanging="357"/>
        <w:jc w:val="both"/>
        <w:rPr>
          <w:rtl/>
        </w:rPr>
      </w:pPr>
      <w:r>
        <w:rPr>
          <w:rtl/>
        </w:rPr>
        <w:t>2.</w:t>
      </w:r>
      <w:r>
        <w:rPr>
          <w:sz w:val="14"/>
          <w:szCs w:val="14"/>
          <w:rtl/>
        </w:rPr>
        <w:t xml:space="preserve">      </w:t>
      </w:r>
      <w:r>
        <w:rPr>
          <w:rFonts w:hint="cs"/>
          <w:rtl/>
        </w:rPr>
        <w:t xml:space="preserve">מאז ועד עתה הייתה בזק בינלאומי בעלת </w:t>
      </w:r>
      <w:r>
        <w:rPr>
          <w:rFonts w:hint="cs"/>
          <w:rtl/>
        </w:rPr>
        <w:t>מונופולין בשוק שירותי טלפון בינלאומי. ביום    9 בנובמבר 1997 קבע קודמי, ד"ר דוד תדמור, כי בזק בינלאומי אף ניצלה את מעמדה בשוק זה לרעה, בעת פתיחת התחרות בו - במהלך חודש יולי 1997</w:t>
      </w:r>
      <w:bookmarkStart w:id="1" w:name="_ftnref2"/>
      <w:r>
        <w:rPr>
          <w:rtl/>
        </w:rPr>
        <w:fldChar w:fldCharType="begin"/>
      </w:r>
      <w:r>
        <w:rPr>
          <w:rtl/>
        </w:rPr>
        <w:instrText xml:space="preserve"> </w:instrText>
      </w:r>
      <w:r>
        <w:instrText>HYPERLINK "" \l "_ftn2" \o</w:instrText>
      </w:r>
      <w:r>
        <w:rPr>
          <w:rtl/>
        </w:rPr>
        <w:instrText xml:space="preserve"> ""</w:instrText>
      </w:r>
      <w:r>
        <w:rPr>
          <w:rtl/>
        </w:rPr>
        <w:instrText xml:space="preserve"> </w:instrText>
      </w:r>
      <w:r>
        <w:rPr>
          <w:rtl/>
        </w:rPr>
        <w:fldChar w:fldCharType="separate"/>
      </w:r>
      <w:r>
        <w:rPr>
          <w:rStyle w:val="FootnoteReference"/>
          <w:color w:val="0000FF"/>
          <w:u w:val="single"/>
        </w:rPr>
        <w:t>[2]</w:t>
      </w:r>
      <w:r>
        <w:rPr>
          <w:rtl/>
        </w:rPr>
        <w:fldChar w:fldCharType="end"/>
      </w:r>
      <w:bookmarkEnd w:id="1"/>
      <w:r>
        <w:rPr>
          <w:rFonts w:hint="cs"/>
          <w:rtl/>
        </w:rPr>
        <w:t>.</w:t>
      </w:r>
    </w:p>
    <w:p w:rsidR="00000000" w:rsidRDefault="00860654">
      <w:pPr>
        <w:pStyle w:val="Header"/>
        <w:spacing w:before="120" w:after="120" w:line="360" w:lineRule="auto"/>
        <w:ind w:left="714" w:hanging="357"/>
        <w:jc w:val="both"/>
        <w:rPr>
          <w:rtl/>
        </w:rPr>
      </w:pPr>
      <w:r>
        <w:rPr>
          <w:rtl/>
        </w:rPr>
        <w:t>3.</w:t>
      </w:r>
      <w:r>
        <w:rPr>
          <w:sz w:val="14"/>
          <w:szCs w:val="14"/>
          <w:rtl/>
        </w:rPr>
        <w:t xml:space="preserve">      </w:t>
      </w:r>
      <w:r>
        <w:rPr>
          <w:rFonts w:hint="cs"/>
          <w:rtl/>
        </w:rPr>
        <w:t>תחילת התחרות בשוק, עת החלו לפעול</w:t>
      </w:r>
      <w:r>
        <w:rPr>
          <w:rFonts w:hint="cs"/>
          <w:rtl/>
        </w:rPr>
        <w:t xml:space="preserve"> בו שתי חברות חדשות: 012 קווי זהב בע"מ וברק אי.טי.סי. (1995) – החברה לשירותי בזק בין-לאומיים, הביאה לירידה משמעותית בתעריפי השירות, במקביל לעליה דרסטית בהיקף דקות השיחה הבינלאומיות היוצאות מישראל. בתחילת שנת 2002 תוכלנה חברות נוספות להיווסף על שלוש המתחרות</w:t>
      </w:r>
      <w:r>
        <w:rPr>
          <w:rFonts w:hint="cs"/>
          <w:rtl/>
        </w:rPr>
        <w:t xml:space="preserve"> דהיום, ולקבל רישיונות למתן שירותי בזק בינלאומיים בישראל.</w:t>
      </w:r>
    </w:p>
    <w:p w:rsidR="00000000" w:rsidRDefault="00860654">
      <w:pPr>
        <w:pStyle w:val="Header"/>
        <w:spacing w:before="120" w:after="120" w:line="360" w:lineRule="auto"/>
        <w:ind w:left="714" w:hanging="357"/>
        <w:jc w:val="both"/>
        <w:rPr>
          <w:rtl/>
        </w:rPr>
      </w:pPr>
      <w:r>
        <w:rPr>
          <w:rtl/>
        </w:rPr>
        <w:t>4.</w:t>
      </w:r>
      <w:r>
        <w:rPr>
          <w:sz w:val="14"/>
          <w:szCs w:val="14"/>
          <w:rtl/>
        </w:rPr>
        <w:t xml:space="preserve">      </w:t>
      </w:r>
      <w:r>
        <w:rPr>
          <w:rFonts w:hint="cs"/>
          <w:rtl/>
        </w:rPr>
        <w:t>ביום 11 באוקטובר 2000 פנתה בזק בינלאומי אל הממונה, בבקשה לבטל את הכרזתה כבעלת מונופולין בתחום השיחות הבינלאומיות. ביטול הכרזת בעל מונופולין אינו עניין שבשגרה. מטבע הדברים חלקו של אדם בשוק בו</w:t>
      </w:r>
      <w:r>
        <w:rPr>
          <w:rFonts w:hint="cs"/>
          <w:rtl/>
        </w:rPr>
        <w:t xml:space="preserve"> הוא פועל יודע עליות ומורדות והוא עשוי להשתנות מעת לעת. לא כל שינוי כזה מביא לביטול מעמדו כבעל מונופולין. כדי לבסס ביטולה של הכרזה חייב שתהא לפני הממונה תשתית עובדתית ראויה, עקבית ועל פני פרק זמן משמעותי, המבססת מסקנה איתנה כי חלקו של מי שמדובר בו פחת מכדי</w:t>
      </w:r>
      <w:r>
        <w:rPr>
          <w:rFonts w:hint="cs"/>
          <w:rtl/>
        </w:rPr>
        <w:t xml:space="preserve"> מחצית מאספקת הנכסים או השירותים הכלולים בשוק המוצר. לאחר שבחנתי את מאפייני שוק אספקת שירותי טלפון בינלאומי לאורך השנים האחרונות, ולאחר שעיינתי בנתונים ובמסמכים רבים שהועברו אלי על ידי השחקנים השונים בשוק השיחות הבינלאומיות, מצאתי כי בזק אינה עוד בעלת מונו</w:t>
      </w:r>
      <w:r>
        <w:rPr>
          <w:rFonts w:hint="cs"/>
          <w:rtl/>
        </w:rPr>
        <w:t xml:space="preserve">פולין בתחום זה וכי מסקנה זו הינה ממצא יציב </w:t>
      </w:r>
      <w:r>
        <w:rPr>
          <w:rFonts w:hint="cs"/>
          <w:rtl/>
        </w:rPr>
        <w:lastRenderedPageBreak/>
        <w:t xml:space="preserve">המשקף מגמה מתמשכת בענף – קיטון בחלקה של בזק בינלאומי וגידול בנתחי השוק של יתר השחקנים. לכן מצאתי לנכון לבטל את ההכרזה. </w:t>
      </w:r>
    </w:p>
    <w:p w:rsidR="00000000" w:rsidRDefault="00860654" w:rsidP="00860654">
      <w:pPr>
        <w:pStyle w:val="Heading1"/>
        <w:rPr>
          <w:rFonts w:eastAsia="Times New Roman"/>
          <w:rtl/>
        </w:rPr>
      </w:pPr>
      <w:r>
        <w:rPr>
          <w:rFonts w:eastAsia="Times New Roman" w:hint="cs"/>
          <w:sz w:val="24"/>
          <w:szCs w:val="24"/>
          <w:rtl/>
        </w:rPr>
        <w:t>ב.</w:t>
      </w:r>
      <w:r>
        <w:rPr>
          <w:rFonts w:eastAsia="Times New Roman"/>
          <w:sz w:val="14"/>
          <w:szCs w:val="14"/>
          <w:rtl/>
        </w:rPr>
        <w:t xml:space="preserve">       </w:t>
      </w:r>
      <w:r>
        <w:rPr>
          <w:rFonts w:eastAsia="Times New Roman" w:hint="cs"/>
          <w:rtl/>
        </w:rPr>
        <w:t>הנתונים שנבדקו</w:t>
      </w:r>
    </w:p>
    <w:p w:rsidR="00000000" w:rsidRDefault="00860654">
      <w:pPr>
        <w:pStyle w:val="Header"/>
        <w:spacing w:before="120" w:after="120" w:line="360" w:lineRule="auto"/>
        <w:ind w:left="714" w:hanging="357"/>
        <w:jc w:val="both"/>
        <w:rPr>
          <w:rtl/>
        </w:rPr>
      </w:pPr>
      <w:r>
        <w:rPr>
          <w:rtl/>
        </w:rPr>
        <w:t>5.</w:t>
      </w:r>
      <w:r>
        <w:rPr>
          <w:sz w:val="14"/>
          <w:szCs w:val="14"/>
          <w:rtl/>
        </w:rPr>
        <w:t xml:space="preserve">      </w:t>
      </w:r>
      <w:r>
        <w:rPr>
          <w:rFonts w:hint="cs"/>
          <w:rtl/>
        </w:rPr>
        <w:t xml:space="preserve">במהלך בחינתנו נבדקו נתונים המתייחסים לשנים </w:t>
      </w:r>
      <w:r>
        <w:rPr>
          <w:rFonts w:hint="cs"/>
          <w:rtl/>
        </w:rPr>
        <w:t xml:space="preserve">1998, 1999 ולמחצית הראשונה של שנת 2000: בין היתר נבדקו הכנסות השחקנים בשוק השיחות הבינלאומיות משיחות נכנסות, משיחות יוצאות ומפעילות </w:t>
      </w:r>
      <w:r>
        <w:t>DATA</w:t>
      </w:r>
      <w:r>
        <w:rPr>
          <w:rFonts w:hint="cs"/>
          <w:rtl/>
        </w:rPr>
        <w:t xml:space="preserve">; משך זמן השיחות הנכנסות והיוצאות; המחיר הממוצע לדקה ומספר הלקוחות המשויכים לכל חברה. </w:t>
      </w:r>
    </w:p>
    <w:p w:rsidR="00000000" w:rsidRDefault="00860654" w:rsidP="00860654">
      <w:pPr>
        <w:pStyle w:val="Heading1"/>
        <w:rPr>
          <w:rFonts w:eastAsia="Times New Roman"/>
          <w:rtl/>
        </w:rPr>
      </w:pPr>
      <w:r>
        <w:rPr>
          <w:rFonts w:eastAsia="Times New Roman" w:hint="cs"/>
          <w:sz w:val="24"/>
          <w:szCs w:val="24"/>
          <w:rtl/>
        </w:rPr>
        <w:t>ג.</w:t>
      </w:r>
      <w:r>
        <w:rPr>
          <w:rFonts w:eastAsia="Times New Roman"/>
          <w:sz w:val="14"/>
          <w:szCs w:val="14"/>
          <w:rtl/>
        </w:rPr>
        <w:t xml:space="preserve">       </w:t>
      </w:r>
      <w:r w:rsidRPr="00860654">
        <w:rPr>
          <w:rFonts w:hint="cs"/>
          <w:rtl/>
        </w:rPr>
        <w:t>ממצ</w:t>
      </w:r>
      <w:bookmarkStart w:id="2" w:name="_GoBack"/>
      <w:bookmarkEnd w:id="2"/>
      <w:r w:rsidRPr="00860654">
        <w:rPr>
          <w:rFonts w:hint="cs"/>
          <w:rtl/>
        </w:rPr>
        <w:t>אים</w:t>
      </w:r>
      <w:r>
        <w:rPr>
          <w:rFonts w:eastAsia="Times New Roman" w:hint="cs"/>
          <w:rtl/>
        </w:rPr>
        <w:t xml:space="preserve"> וסוף דבר</w:t>
      </w:r>
    </w:p>
    <w:p w:rsidR="00000000" w:rsidRDefault="00860654">
      <w:pPr>
        <w:pStyle w:val="Header"/>
        <w:spacing w:before="120" w:after="120" w:line="360" w:lineRule="auto"/>
        <w:ind w:left="714" w:hanging="357"/>
        <w:jc w:val="both"/>
        <w:rPr>
          <w:rtl/>
        </w:rPr>
      </w:pPr>
      <w:r>
        <w:rPr>
          <w:rtl/>
        </w:rPr>
        <w:t>6.</w:t>
      </w:r>
      <w:r>
        <w:rPr>
          <w:sz w:val="14"/>
          <w:szCs w:val="14"/>
          <w:rtl/>
        </w:rPr>
        <w:t xml:space="preserve">      </w:t>
      </w:r>
      <w:r>
        <w:rPr>
          <w:rFonts w:hint="cs"/>
          <w:rtl/>
        </w:rPr>
        <w:t>מניתוח הנתונים לעיל עלה בבירור כי נתח השוק של בזק בינלאומי באספקת שירותי טלפון בינלאומי מצוי בירידה הדרגתית ועקבית החל משנת 1998, כי נתח השוק שלה ירד לראשונה מתחת ל - 50% במהלך שנת 1999 וכי בכל אחד מן המדדים שנבחנו פחת חלקה בשוק הרלוונטי מ - 50%. עוד מצאתי</w:t>
      </w:r>
      <w:r>
        <w:rPr>
          <w:rFonts w:hint="cs"/>
          <w:rtl/>
        </w:rPr>
        <w:t xml:space="preserve"> כי מאפייני השוק אינם מעלים כל אינדיקציה מיוחדת או צפי לעליית חלקה של החברה בשוק, בתקופה הקרובה או מעבר לכך, אל מעל ל – 50%.</w:t>
      </w:r>
    </w:p>
    <w:p w:rsidR="00000000" w:rsidRDefault="00860654">
      <w:pPr>
        <w:pStyle w:val="Header"/>
        <w:spacing w:before="120" w:after="120" w:line="360" w:lineRule="auto"/>
        <w:jc w:val="both"/>
        <w:rPr>
          <w:rtl/>
        </w:rPr>
      </w:pPr>
      <w:r>
        <w:rPr>
          <w:rFonts w:hint="cs"/>
          <w:rtl/>
        </w:rPr>
        <w:t>בנסיבות אלה, בהן על פי מבחני סעיף 26(א) לחוק ההגבלים העסקיים אין בזק בינלאומי מהווה בעל מונופולין באספקת שירותי טלפון בינלאומי – מצ</w:t>
      </w:r>
      <w:r>
        <w:rPr>
          <w:rFonts w:hint="cs"/>
          <w:rtl/>
        </w:rPr>
        <w:t>אתי לנכון לבטל את הכרזתה ככזו. תוקף הביטול-ממועד החלטתי זו.</w:t>
      </w:r>
    </w:p>
    <w:p w:rsidR="00000000" w:rsidRDefault="00860654">
      <w:pPr>
        <w:pStyle w:val="Header"/>
        <w:spacing w:before="120" w:after="120" w:line="360" w:lineRule="auto"/>
        <w:jc w:val="both"/>
        <w:rPr>
          <w:rtl/>
        </w:rPr>
      </w:pPr>
      <w:r>
        <w:rPr>
          <w:rFonts w:hint="cs"/>
          <w:rtl/>
        </w:rPr>
        <w:t>למען הסר ספק בלבד מובהר בזה כי אין בביטול ההכרזה כדי לשנות ממעמדה של בזק כבעלת מונופולין בכל יתר התחומים בהם הוכרזה בעלת מונופולין ומן החיובים החלים עליה בשל כך.</w:t>
      </w:r>
    </w:p>
    <w:p w:rsidR="00000000" w:rsidRDefault="00860654">
      <w:pPr>
        <w:pStyle w:val="Header"/>
        <w:spacing w:before="120" w:after="120" w:line="360" w:lineRule="auto"/>
        <w:jc w:val="both"/>
        <w:rPr>
          <w:rtl/>
        </w:rPr>
      </w:pPr>
      <w:r>
        <w:rPr>
          <w:rFonts w:hint="cs"/>
          <w:rtl/>
        </w:rPr>
        <w:t>הודעה על ביטול ההכרזה-תפורסם ברשומ</w:t>
      </w:r>
      <w:r>
        <w:rPr>
          <w:rFonts w:hint="cs"/>
          <w:rtl/>
        </w:rPr>
        <w:t>ות.</w:t>
      </w:r>
    </w:p>
    <w:p w:rsidR="00000000" w:rsidRDefault="00860654">
      <w:pPr>
        <w:pStyle w:val="Header"/>
        <w:spacing w:line="360" w:lineRule="auto"/>
        <w:ind w:left="4532"/>
        <w:jc w:val="both"/>
        <w:rPr>
          <w:rtl/>
        </w:rPr>
      </w:pPr>
      <w:r>
        <w:rPr>
          <w:rFonts w:hint="cs"/>
          <w:rtl/>
        </w:rPr>
        <w:t> </w:t>
      </w:r>
    </w:p>
    <w:p w:rsidR="00000000" w:rsidRDefault="00860654">
      <w:pPr>
        <w:pStyle w:val="Header"/>
        <w:spacing w:line="360" w:lineRule="auto"/>
        <w:ind w:left="4532"/>
        <w:jc w:val="both"/>
        <w:rPr>
          <w:rtl/>
        </w:rPr>
      </w:pPr>
      <w:r>
        <w:rPr>
          <w:rFonts w:hint="cs"/>
          <w:rtl/>
        </w:rPr>
        <w:t> </w:t>
      </w:r>
    </w:p>
    <w:p w:rsidR="00000000" w:rsidRDefault="00860654">
      <w:pPr>
        <w:pStyle w:val="Header"/>
        <w:spacing w:line="360" w:lineRule="auto"/>
        <w:ind w:left="4532"/>
        <w:jc w:val="both"/>
        <w:rPr>
          <w:rtl/>
        </w:rPr>
      </w:pPr>
      <w:r>
        <w:rPr>
          <w:rFonts w:hint="cs"/>
          <w:rtl/>
        </w:rPr>
        <w:t> </w:t>
      </w:r>
    </w:p>
    <w:p w:rsidR="00000000" w:rsidRDefault="00860654">
      <w:pPr>
        <w:pStyle w:val="Header"/>
        <w:spacing w:line="360" w:lineRule="auto"/>
        <w:ind w:left="4532" w:firstLine="508"/>
        <w:jc w:val="both"/>
        <w:rPr>
          <w:rtl/>
        </w:rPr>
      </w:pPr>
      <w:r>
        <w:rPr>
          <w:rFonts w:hint="cs"/>
          <w:rtl/>
        </w:rPr>
        <w:t>עו"ד דרור שטרום</w:t>
      </w:r>
    </w:p>
    <w:p w:rsidR="00000000" w:rsidRDefault="00860654">
      <w:pPr>
        <w:pStyle w:val="Header"/>
        <w:spacing w:before="120" w:line="360" w:lineRule="auto"/>
        <w:ind w:left="4530"/>
        <w:jc w:val="both"/>
        <w:rPr>
          <w:rtl/>
        </w:rPr>
      </w:pPr>
      <w:r>
        <w:rPr>
          <w:rFonts w:hint="cs"/>
          <w:rtl/>
        </w:rPr>
        <w:t>הממונה על הגבלים עסקיים (בפועל)</w:t>
      </w:r>
    </w:p>
    <w:p w:rsidR="00000000" w:rsidRDefault="00860654">
      <w:pPr>
        <w:pStyle w:val="Header"/>
        <w:spacing w:line="360" w:lineRule="auto"/>
        <w:jc w:val="both"/>
        <w:rPr>
          <w:rtl/>
        </w:rPr>
      </w:pPr>
      <w:r>
        <w:rPr>
          <w:rFonts w:hint="cs"/>
          <w:rtl/>
        </w:rPr>
        <w:t> </w:t>
      </w:r>
    </w:p>
    <w:p w:rsidR="00000000" w:rsidRDefault="00860654">
      <w:pPr>
        <w:pStyle w:val="Header"/>
        <w:spacing w:line="360" w:lineRule="auto"/>
        <w:jc w:val="both"/>
        <w:rPr>
          <w:rtl/>
        </w:rPr>
      </w:pPr>
      <w:r>
        <w:rPr>
          <w:rFonts w:hint="cs"/>
          <w:rtl/>
        </w:rPr>
        <w:t> </w:t>
      </w:r>
    </w:p>
    <w:p w:rsidR="00000000" w:rsidRDefault="00860654">
      <w:pPr>
        <w:pStyle w:val="Header"/>
        <w:spacing w:line="360" w:lineRule="auto"/>
        <w:jc w:val="both"/>
        <w:rPr>
          <w:rtl/>
        </w:rPr>
      </w:pPr>
      <w:r>
        <w:rPr>
          <w:rFonts w:hint="cs"/>
          <w:rtl/>
        </w:rPr>
        <w:t>ירושלים, ו' אייר תשס"א</w:t>
      </w:r>
    </w:p>
    <w:p w:rsidR="00000000" w:rsidRDefault="00860654">
      <w:pPr>
        <w:spacing w:line="360" w:lineRule="auto"/>
        <w:jc w:val="both"/>
        <w:rPr>
          <w:rtl/>
        </w:rPr>
      </w:pPr>
      <w:r>
        <w:rPr>
          <w:rFonts w:hint="cs"/>
          <w:rtl/>
        </w:rPr>
        <w:t>                29 אפריל 2001</w:t>
      </w:r>
    </w:p>
    <w:p w:rsidR="00000000" w:rsidRDefault="00860654">
      <w:pPr>
        <w:divId w:val="904685292"/>
        <w:rPr>
          <w:rFonts w:eastAsia="Times New Roman"/>
          <w:rtl/>
        </w:rPr>
      </w:pPr>
      <w:r>
        <w:rPr>
          <w:rFonts w:eastAsia="Times New Roman" w:hint="cs"/>
          <w:rtl/>
        </w:rPr>
        <w:br w:type="textWrapping" w:clear="all"/>
      </w:r>
    </w:p>
    <w:p w:rsidR="00000000" w:rsidRDefault="00860654">
      <w:pPr>
        <w:divId w:val="904685292"/>
        <w:rPr>
          <w:rFonts w:eastAsia="Times New Roman" w:hint="cs"/>
          <w:rtl/>
        </w:rPr>
      </w:pPr>
      <w:r>
        <w:rPr>
          <w:rFonts w:eastAsia="Times New Roman" w:hint="cs"/>
        </w:rPr>
        <w:pict>
          <v:rect id="_x0000_i1026" style="width:141.1pt;height:.75pt" o:hrpct="330" o:hrstd="t" o:hr="t" fillcolor="#a0a0a0" stroked="f"/>
        </w:pict>
      </w:r>
    </w:p>
    <w:p w:rsidR="00000000" w:rsidRDefault="00860654">
      <w:pPr>
        <w:pStyle w:val="FootnoteText"/>
        <w:divId w:val="874271615"/>
        <w:rPr>
          <w:rFonts w:hint="cs"/>
          <w:rtl/>
        </w:rPr>
      </w:pPr>
      <w:bookmarkStart w:id="3" w:name="_ftn1"/>
      <w:bookmarkEnd w:id="3"/>
      <w:r>
        <w:t> </w:t>
      </w:r>
      <w:r>
        <w:rPr>
          <w:rStyle w:val="FootnoteReference"/>
        </w:rPr>
        <w:t>[1]</w:t>
      </w:r>
      <w:r>
        <w:rPr>
          <w:sz w:val="12"/>
          <w:szCs w:val="12"/>
        </w:rPr>
        <w:t xml:space="preserve"> </w:t>
      </w:r>
      <w:r>
        <w:rPr>
          <w:rFonts w:hint="cs"/>
          <w:b/>
          <w:bCs/>
          <w:rtl/>
        </w:rPr>
        <w:t xml:space="preserve">הגבלים עסקיים </w:t>
      </w:r>
      <w:r>
        <w:rPr>
          <w:rFonts w:hint="cs"/>
          <w:rtl/>
        </w:rPr>
        <w:t>3001314.</w:t>
      </w:r>
    </w:p>
    <w:bookmarkStart w:id="4" w:name="_ftn2"/>
    <w:p w:rsidR="00000000" w:rsidRDefault="00860654">
      <w:pPr>
        <w:pStyle w:val="FootnoteText"/>
        <w:divId w:val="1338652914"/>
        <w:rPr>
          <w:rtl/>
        </w:rPr>
      </w:pPr>
      <w:r>
        <w:rPr>
          <w:rtl/>
        </w:rPr>
        <w:lastRenderedPageBreak/>
        <w:fldChar w:fldCharType="begin"/>
      </w:r>
      <w:r>
        <w:rPr>
          <w:rtl/>
        </w:rPr>
        <w:instrText xml:space="preserve"> </w:instrText>
      </w:r>
      <w:r>
        <w:instrText>HYPERLINK "" \l "_ftnref2" \o</w:instrText>
      </w:r>
      <w:r>
        <w:rPr>
          <w:rtl/>
        </w:rPr>
        <w:instrText xml:space="preserve"> ""</w:instrText>
      </w:r>
      <w:r>
        <w:rPr>
          <w:rtl/>
        </w:rPr>
        <w:instrText xml:space="preserve"> </w:instrText>
      </w:r>
      <w:r>
        <w:rPr>
          <w:rtl/>
        </w:rPr>
        <w:fldChar w:fldCharType="separate"/>
      </w:r>
      <w:r>
        <w:rPr>
          <w:rStyle w:val="FootnoteReference"/>
          <w:color w:val="0000FF"/>
          <w:u w:val="single"/>
        </w:rPr>
        <w:t>[2]</w:t>
      </w:r>
      <w:r>
        <w:rPr>
          <w:rtl/>
        </w:rPr>
        <w:fldChar w:fldCharType="end"/>
      </w:r>
      <w:bookmarkEnd w:id="4"/>
      <w:r>
        <w:t xml:space="preserve"> </w:t>
      </w:r>
      <w:r>
        <w:rPr>
          <w:rtl/>
        </w:rPr>
        <w:t> </w:t>
      </w:r>
      <w:r>
        <w:rPr>
          <w:rFonts w:hint="cs"/>
          <w:b/>
          <w:bCs/>
          <w:rtl/>
        </w:rPr>
        <w:t xml:space="preserve">הגבלים עסקיים </w:t>
      </w:r>
      <w:r>
        <w:rPr>
          <w:rFonts w:hint="cs"/>
          <w:rtl/>
        </w:rPr>
        <w:t>3010364.</w:t>
      </w:r>
    </w:p>
    <w:p w:rsidR="00000000" w:rsidRDefault="00860654">
      <w:pPr>
        <w:pStyle w:val="Footer"/>
        <w:divId w:val="305546552"/>
        <w:rPr>
          <w:szCs w:val="14"/>
          <w:rtl/>
        </w:rPr>
      </w:pPr>
    </w:p>
    <w:p w:rsidR="00000000" w:rsidRDefault="00860654">
      <w:pPr>
        <w:bidi w:val="0"/>
        <w:divId w:val="305546552"/>
        <w:rPr>
          <w:rFonts w:eastAsia="Times New Roman"/>
          <w:rtl/>
        </w:rPr>
      </w:pPr>
      <w:r>
        <w:rPr>
          <w:rFonts w:eastAsia="Times New Roman"/>
        </w:rPr>
        <w:t>\</w:t>
      </w:r>
    </w:p>
    <w:sectPr w:rsidR="00000000">
      <w:pgSz w:w="11909" w:h="16834"/>
      <w:pgMar w:top="1440" w:right="1800" w:bottom="1440" w:left="1800" w:header="708" w:footer="708" w:gutter="0"/>
      <w:cols w:space="708"/>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860654">
      <w:r>
        <w:separator/>
      </w:r>
    </w:p>
  </w:endnote>
  <w:endnote w:type="continuationSeparator" w:id="0">
    <w:p w:rsidR="00000000" w:rsidRDefault="00860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arkisim">
    <w:panose1 w:val="020E0502050101010101"/>
    <w:charset w:val="B1"/>
    <w:family w:val="swiss"/>
    <w:pitch w:val="variable"/>
    <w:sig w:usb0="00000801" w:usb1="00000000" w:usb2="00000000" w:usb3="00000000" w:csb0="00000020" w:csb1="00000000"/>
  </w:font>
  <w:font w:name="David">
    <w:panose1 w:val="020E0502060401010101"/>
    <w:charset w:val="B1"/>
    <w:family w:val="swiss"/>
    <w:pitch w:val="variable"/>
    <w:sig w:usb0="00000801" w:usb1="00000000" w:usb2="00000000" w:usb3="00000000" w:csb0="0000002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860654">
      <w:r>
        <w:separator/>
      </w:r>
    </w:p>
  </w:footnote>
  <w:footnote w:type="continuationSeparator" w:id="0">
    <w:p w:rsidR="00000000" w:rsidRDefault="008606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7AAA37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788E7F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3BAC15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7E32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3CE1F6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24D7A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6761C3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D2692F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7D26E5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DE43350"/>
    <w:lvl w:ilvl="0">
      <w:start w:val="1"/>
      <w:numFmt w:val="bullet"/>
      <w:pStyle w:val="ListBullet"/>
      <w:lvlText w:val=""/>
      <w:lvlJc w:val="left"/>
      <w:pPr>
        <w:tabs>
          <w:tab w:val="num" w:pos="360"/>
        </w:tabs>
        <w:ind w:left="360" w:hanging="360"/>
      </w:pPr>
      <w:rPr>
        <w:rFonts w:ascii="Symbol" w:hAnsi="Symbol"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E62A20"/>
    <w:rsid w:val="00156382"/>
    <w:rsid w:val="00860654"/>
    <w:rsid w:val="00E62A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98FA962-8D5B-476C-A9CA-6799EA979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rPr>
      <w:rFonts w:eastAsiaTheme="minorEastAsia"/>
      <w:sz w:val="24"/>
      <w:szCs w:val="24"/>
    </w:rPr>
  </w:style>
  <w:style w:type="paragraph" w:styleId="Heading1">
    <w:name w:val="heading 1"/>
    <w:basedOn w:val="Normal"/>
    <w:link w:val="Heading1Char"/>
    <w:uiPriority w:val="9"/>
    <w:qFormat/>
    <w:pPr>
      <w:keepNext/>
      <w:spacing w:before="120"/>
      <w:outlineLvl w:val="0"/>
    </w:pPr>
    <w:rPr>
      <w:b/>
      <w:bCs/>
      <w:kern w:val="36"/>
      <w:sz w:val="26"/>
      <w:szCs w:val="26"/>
    </w:rPr>
  </w:style>
  <w:style w:type="paragraph" w:styleId="Heading2">
    <w:name w:val="heading 2"/>
    <w:basedOn w:val="Normal"/>
    <w:link w:val="Heading2Char"/>
    <w:uiPriority w:val="9"/>
    <w:qFormat/>
    <w:pPr>
      <w:keepNext/>
      <w:outlineLvl w:val="1"/>
    </w:pPr>
    <w:rPr>
      <w:b/>
      <w:bCs/>
      <w:sz w:val="22"/>
      <w:szCs w:val="22"/>
    </w:rPr>
  </w:style>
  <w:style w:type="paragraph" w:styleId="Heading3">
    <w:name w:val="heading 3"/>
    <w:basedOn w:val="Normal"/>
    <w:link w:val="Heading3Char"/>
    <w:uiPriority w:val="9"/>
    <w:qFormat/>
    <w:pPr>
      <w:keepNext/>
      <w:outlineLvl w:val="2"/>
    </w:pPr>
    <w:rPr>
      <w:b/>
      <w:bCs/>
      <w:sz w:val="22"/>
      <w:szCs w:val="22"/>
    </w:rPr>
  </w:style>
  <w:style w:type="paragraph" w:styleId="Heading4">
    <w:name w:val="heading 4"/>
    <w:basedOn w:val="Normal"/>
    <w:link w:val="Heading4Char"/>
    <w:uiPriority w:val="9"/>
    <w:qFormat/>
    <w:pPr>
      <w:keepNext/>
      <w:outlineLvl w:val="3"/>
    </w:pPr>
    <w:rPr>
      <w:b/>
      <w:bCs/>
      <w:sz w:val="22"/>
      <w:szCs w:val="22"/>
    </w:rPr>
  </w:style>
  <w:style w:type="paragraph" w:styleId="Heading5">
    <w:name w:val="heading 5"/>
    <w:basedOn w:val="Normal"/>
    <w:link w:val="Heading5Char"/>
    <w:uiPriority w:val="9"/>
    <w:qFormat/>
    <w:pPr>
      <w:keepNext/>
      <w:outlineLvl w:val="4"/>
    </w:pPr>
    <w:rPr>
      <w:b/>
      <w:bCs/>
      <w:sz w:val="22"/>
      <w:szCs w:val="22"/>
    </w:rPr>
  </w:style>
  <w:style w:type="paragraph" w:styleId="Heading6">
    <w:name w:val="heading 6"/>
    <w:basedOn w:val="Normal"/>
    <w:link w:val="Heading6Char"/>
    <w:uiPriority w:val="9"/>
    <w:qFormat/>
    <w:pPr>
      <w:keepNext/>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bidi w:val="0"/>
      <w:spacing w:before="100" w:beforeAutospacing="1" w:after="100" w:afterAutospacing="1"/>
    </w:pPr>
  </w:style>
  <w:style w:type="paragraph" w:styleId="Header">
    <w:name w:val="header"/>
    <w:basedOn w:val="Normal"/>
    <w:link w:val="HeaderChar"/>
    <w:uiPriority w:val="99"/>
    <w:semiHidden/>
    <w:unhideWhenUsed/>
  </w:style>
  <w:style w:type="character" w:customStyle="1" w:styleId="HeaderChar">
    <w:name w:val="Header Char"/>
    <w:basedOn w:val="DefaultParagraphFont"/>
    <w:link w:val="Header"/>
    <w:uiPriority w:val="99"/>
    <w:semiHidden/>
    <w:rPr>
      <w:rFonts w:eastAsiaTheme="minorEastAsia"/>
      <w:sz w:val="24"/>
      <w:szCs w:val="24"/>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2E74B5" w:themeColor="accent1" w:themeShade="BF"/>
      <w:sz w:val="24"/>
      <w:szCs w:val="24"/>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E74B5" w:themeColor="accent1" w:themeShade="BF"/>
      <w:sz w:val="24"/>
      <w:szCs w:val="24"/>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color w:val="1F4D78" w:themeColor="accent1" w:themeShade="7F"/>
      <w:sz w:val="24"/>
      <w:szCs w:val="24"/>
    </w:rPr>
  </w:style>
  <w:style w:type="paragraph" w:styleId="TOC1">
    <w:name w:val="toc 1"/>
    <w:basedOn w:val="Normal"/>
    <w:autoRedefine/>
    <w:uiPriority w:val="39"/>
    <w:semiHidden/>
    <w:unhideWhenUsed/>
    <w:pPr>
      <w:keepNext/>
      <w:spacing w:before="240" w:after="120"/>
    </w:pPr>
    <w:rPr>
      <w:b/>
      <w:bCs/>
      <w:sz w:val="22"/>
      <w:szCs w:val="22"/>
    </w:rPr>
  </w:style>
  <w:style w:type="paragraph" w:styleId="TOC2">
    <w:name w:val="toc 2"/>
    <w:basedOn w:val="Normal"/>
    <w:autoRedefine/>
    <w:uiPriority w:val="39"/>
    <w:semiHidden/>
    <w:unhideWhenUsed/>
    <w:pPr>
      <w:spacing w:after="60"/>
      <w:ind w:left="238"/>
    </w:pPr>
    <w:rPr>
      <w:sz w:val="22"/>
      <w:szCs w:val="22"/>
    </w:rPr>
  </w:style>
  <w:style w:type="paragraph" w:styleId="TOC3">
    <w:name w:val="toc 3"/>
    <w:basedOn w:val="Normal"/>
    <w:autoRedefine/>
    <w:uiPriority w:val="39"/>
    <w:semiHidden/>
    <w:unhideWhenUsed/>
    <w:pPr>
      <w:ind w:left="482"/>
    </w:pPr>
    <w:rPr>
      <w:sz w:val="22"/>
      <w:szCs w:val="22"/>
    </w:rPr>
  </w:style>
  <w:style w:type="paragraph" w:styleId="TOC4">
    <w:name w:val="toc 4"/>
    <w:basedOn w:val="Normal"/>
    <w:autoRedefine/>
    <w:uiPriority w:val="39"/>
    <w:semiHidden/>
    <w:unhideWhenUsed/>
    <w:pPr>
      <w:ind w:left="720"/>
    </w:pPr>
    <w:rPr>
      <w:sz w:val="22"/>
      <w:szCs w:val="22"/>
    </w:rPr>
  </w:style>
  <w:style w:type="paragraph" w:styleId="TOC5">
    <w:name w:val="toc 5"/>
    <w:basedOn w:val="Normal"/>
    <w:autoRedefine/>
    <w:uiPriority w:val="39"/>
    <w:semiHidden/>
    <w:unhideWhenUsed/>
    <w:pPr>
      <w:ind w:left="958"/>
    </w:pPr>
    <w:rPr>
      <w:sz w:val="22"/>
      <w:szCs w:val="22"/>
    </w:rPr>
  </w:style>
  <w:style w:type="paragraph" w:styleId="TOC6">
    <w:name w:val="toc 6"/>
    <w:basedOn w:val="Normal"/>
    <w:autoRedefine/>
    <w:uiPriority w:val="39"/>
    <w:semiHidden/>
    <w:unhideWhenUsed/>
    <w:pPr>
      <w:ind w:left="1202"/>
    </w:pPr>
    <w:rPr>
      <w:sz w:val="22"/>
      <w:szCs w:val="22"/>
    </w:rPr>
  </w:style>
  <w:style w:type="paragraph" w:styleId="FootnoteText">
    <w:name w:val="footnote text"/>
    <w:basedOn w:val="Normal"/>
    <w:link w:val="FootnoteTextChar"/>
    <w:uiPriority w:val="99"/>
    <w:semiHidden/>
    <w:unhideWhenUsed/>
    <w:pPr>
      <w:spacing w:after="120"/>
    </w:pPr>
    <w:rPr>
      <w:sz w:val="20"/>
      <w:szCs w:val="20"/>
    </w:rPr>
  </w:style>
  <w:style w:type="character" w:customStyle="1" w:styleId="FootnoteTextChar">
    <w:name w:val="Footnote Text Char"/>
    <w:basedOn w:val="DefaultParagraphFont"/>
    <w:link w:val="FootnoteText"/>
    <w:uiPriority w:val="99"/>
    <w:semiHidden/>
    <w:rPr>
      <w:rFonts w:eastAsiaTheme="minorEastAsia"/>
    </w:rPr>
  </w:style>
  <w:style w:type="paragraph" w:styleId="Footer">
    <w:name w:val="footer"/>
    <w:basedOn w:val="Normal"/>
    <w:link w:val="FooterChar"/>
    <w:uiPriority w:val="99"/>
    <w:semiHidden/>
    <w:unhideWhenUsed/>
  </w:style>
  <w:style w:type="character" w:customStyle="1" w:styleId="FooterChar">
    <w:name w:val="Footer Char"/>
    <w:basedOn w:val="DefaultParagraphFont"/>
    <w:link w:val="Footer"/>
    <w:uiPriority w:val="99"/>
    <w:semiHidden/>
    <w:rPr>
      <w:rFonts w:eastAsiaTheme="minorEastAsia"/>
      <w:sz w:val="24"/>
      <w:szCs w:val="24"/>
    </w:rPr>
  </w:style>
  <w:style w:type="paragraph" w:styleId="ListBullet">
    <w:name w:val="List Bullet"/>
    <w:basedOn w:val="Normal"/>
    <w:uiPriority w:val="99"/>
    <w:semiHidden/>
    <w:unhideWhenUsed/>
    <w:pPr>
      <w:ind w:left="360" w:hanging="360"/>
    </w:pPr>
  </w:style>
  <w:style w:type="paragraph" w:styleId="ListNumber">
    <w:name w:val="List Number"/>
    <w:basedOn w:val="Normal"/>
    <w:uiPriority w:val="99"/>
    <w:semiHidden/>
    <w:unhideWhenUsed/>
    <w:pPr>
      <w:ind w:left="360" w:hanging="360"/>
    </w:pPr>
  </w:style>
  <w:style w:type="paragraph" w:styleId="ListBullet2">
    <w:name w:val="List Bullet 2"/>
    <w:basedOn w:val="Normal"/>
    <w:uiPriority w:val="99"/>
    <w:semiHidden/>
    <w:unhideWhenUsed/>
    <w:pPr>
      <w:ind w:left="720" w:hanging="360"/>
    </w:pPr>
  </w:style>
  <w:style w:type="paragraph" w:styleId="ListBullet3">
    <w:name w:val="List Bullet 3"/>
    <w:basedOn w:val="Normal"/>
    <w:uiPriority w:val="99"/>
    <w:semiHidden/>
    <w:unhideWhenUsed/>
    <w:pPr>
      <w:ind w:left="1080" w:hanging="360"/>
    </w:pPr>
  </w:style>
  <w:style w:type="paragraph" w:styleId="ListBullet4">
    <w:name w:val="List Bullet 4"/>
    <w:basedOn w:val="Normal"/>
    <w:uiPriority w:val="99"/>
    <w:semiHidden/>
    <w:unhideWhenUsed/>
    <w:pPr>
      <w:ind w:left="1440" w:hanging="360"/>
    </w:pPr>
  </w:style>
  <w:style w:type="paragraph" w:styleId="ListBullet5">
    <w:name w:val="List Bullet 5"/>
    <w:basedOn w:val="Normal"/>
    <w:uiPriority w:val="99"/>
    <w:semiHidden/>
    <w:unhideWhenUsed/>
    <w:pPr>
      <w:ind w:left="1800" w:hanging="360"/>
    </w:pPr>
  </w:style>
  <w:style w:type="paragraph" w:styleId="ListNumber2">
    <w:name w:val="List Number 2"/>
    <w:basedOn w:val="Normal"/>
    <w:uiPriority w:val="99"/>
    <w:semiHidden/>
    <w:unhideWhenUsed/>
    <w:pPr>
      <w:ind w:left="720" w:hanging="360"/>
    </w:pPr>
  </w:style>
  <w:style w:type="paragraph" w:styleId="ListNumber3">
    <w:name w:val="List Number 3"/>
    <w:basedOn w:val="Normal"/>
    <w:uiPriority w:val="99"/>
    <w:semiHidden/>
    <w:unhideWhenUsed/>
    <w:pPr>
      <w:ind w:left="1080" w:hanging="360"/>
    </w:pPr>
  </w:style>
  <w:style w:type="paragraph" w:styleId="ListNumber4">
    <w:name w:val="List Number 4"/>
    <w:basedOn w:val="Normal"/>
    <w:uiPriority w:val="99"/>
    <w:semiHidden/>
    <w:unhideWhenUsed/>
    <w:pPr>
      <w:ind w:left="1440" w:hanging="360"/>
    </w:pPr>
  </w:style>
  <w:style w:type="paragraph" w:styleId="ListNumber5">
    <w:name w:val="List Number 5"/>
    <w:basedOn w:val="Normal"/>
    <w:uiPriority w:val="99"/>
    <w:semiHidden/>
    <w:unhideWhenUsed/>
    <w:pPr>
      <w:ind w:left="1800" w:hanging="360"/>
    </w:pPr>
  </w:style>
  <w:style w:type="paragraph" w:styleId="Signature">
    <w:name w:val="Signature"/>
    <w:basedOn w:val="Normal"/>
    <w:link w:val="SignatureChar"/>
    <w:uiPriority w:val="99"/>
    <w:semiHidden/>
    <w:unhideWhenUsed/>
    <w:pPr>
      <w:ind w:left="3686"/>
      <w:jc w:val="center"/>
    </w:pPr>
  </w:style>
  <w:style w:type="character" w:customStyle="1" w:styleId="SignatureChar">
    <w:name w:val="Signature Char"/>
    <w:basedOn w:val="DefaultParagraphFont"/>
    <w:link w:val="Signature"/>
    <w:uiPriority w:val="99"/>
    <w:semiHidden/>
    <w:rPr>
      <w:rFonts w:eastAsiaTheme="minorEastAsia"/>
      <w:sz w:val="24"/>
      <w:szCs w:val="24"/>
    </w:rPr>
  </w:style>
  <w:style w:type="paragraph" w:styleId="BodyText">
    <w:name w:val="Body Text"/>
    <w:basedOn w:val="Normal"/>
    <w:link w:val="BodyTextChar"/>
    <w:uiPriority w:val="99"/>
    <w:semiHidden/>
    <w:unhideWhenUsed/>
    <w:pPr>
      <w:overflowPunct w:val="0"/>
      <w:autoSpaceDE w:val="0"/>
      <w:autoSpaceDN w:val="0"/>
      <w:spacing w:after="120" w:line="360" w:lineRule="auto"/>
      <w:jc w:val="center"/>
    </w:pPr>
    <w:rPr>
      <w:b/>
      <w:bCs/>
      <w:sz w:val="28"/>
      <w:szCs w:val="28"/>
    </w:rPr>
  </w:style>
  <w:style w:type="character" w:customStyle="1" w:styleId="BodyTextChar">
    <w:name w:val="Body Text Char"/>
    <w:basedOn w:val="DefaultParagraphFont"/>
    <w:link w:val="BodyText"/>
    <w:uiPriority w:val="99"/>
    <w:semiHidden/>
    <w:rPr>
      <w:rFonts w:eastAsiaTheme="minorEastAsia"/>
      <w:sz w:val="24"/>
      <w:szCs w:val="24"/>
    </w:rPr>
  </w:style>
  <w:style w:type="paragraph" w:styleId="Salutation">
    <w:name w:val="Salutation"/>
    <w:basedOn w:val="Normal"/>
    <w:link w:val="SalutationChar"/>
    <w:uiPriority w:val="99"/>
    <w:semiHidden/>
    <w:unhideWhenUsed/>
    <w:rPr>
      <w:b/>
      <w:bCs/>
    </w:rPr>
  </w:style>
  <w:style w:type="character" w:customStyle="1" w:styleId="SalutationChar">
    <w:name w:val="Salutation Char"/>
    <w:basedOn w:val="DefaultParagraphFont"/>
    <w:link w:val="Salutation"/>
    <w:uiPriority w:val="99"/>
    <w:semiHidden/>
    <w:rPr>
      <w:rFonts w:eastAsiaTheme="minorEastAsia"/>
      <w:sz w:val="24"/>
      <w:szCs w:val="24"/>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Segoe UI" w:eastAsiaTheme="minorEastAsia" w:hAnsi="Segoe UI" w:cs="Segoe UI"/>
      <w:sz w:val="18"/>
      <w:szCs w:val="18"/>
    </w:rPr>
  </w:style>
  <w:style w:type="paragraph" w:customStyle="1" w:styleId="1">
    <w:name w:val="1"/>
    <w:basedOn w:val="Normal"/>
  </w:style>
  <w:style w:type="paragraph" w:customStyle="1" w:styleId="afterheading2">
    <w:name w:val="afterheading2"/>
    <w:basedOn w:val="Normal"/>
    <w:pPr>
      <w:ind w:left="170"/>
    </w:pPr>
  </w:style>
  <w:style w:type="paragraph" w:customStyle="1" w:styleId="afterheading3">
    <w:name w:val="afterheading3"/>
    <w:basedOn w:val="Normal"/>
    <w:pPr>
      <w:ind w:left="510"/>
    </w:pPr>
  </w:style>
  <w:style w:type="paragraph" w:customStyle="1" w:styleId="afterheading4">
    <w:name w:val="afterheading4"/>
    <w:basedOn w:val="Normal"/>
    <w:pPr>
      <w:ind w:left="1247"/>
    </w:pPr>
  </w:style>
  <w:style w:type="paragraph" w:customStyle="1" w:styleId="afterheading5">
    <w:name w:val="afterheading5"/>
    <w:basedOn w:val="Normal"/>
    <w:pPr>
      <w:ind w:left="2098"/>
    </w:pPr>
  </w:style>
  <w:style w:type="paragraph" w:customStyle="1" w:styleId="afterheading6">
    <w:name w:val="afterheading6"/>
    <w:basedOn w:val="Normal"/>
    <w:pPr>
      <w:ind w:left="2892"/>
    </w:pPr>
  </w:style>
  <w:style w:type="paragraph" w:customStyle="1" w:styleId="afterheading1">
    <w:name w:val="afterheading1"/>
    <w:basedOn w:val="Normal"/>
  </w:style>
  <w:style w:type="paragraph" w:customStyle="1" w:styleId="footnotetext-1">
    <w:name w:val="footnotetext-1"/>
    <w:basedOn w:val="Normal"/>
    <w:pPr>
      <w:spacing w:after="120"/>
    </w:pPr>
    <w:rPr>
      <w:sz w:val="20"/>
      <w:szCs w:val="20"/>
    </w:rPr>
  </w:style>
  <w:style w:type="character" w:styleId="FootnoteReference">
    <w:name w:val="footnote reference"/>
    <w:basedOn w:val="DefaultParagraphFont"/>
    <w:uiPriority w:val="99"/>
    <w:semiHidden/>
    <w:unhideWhenUsed/>
    <w:rPr>
      <w:rFonts w:ascii="Times New Roman" w:hAnsi="Times New Roman" w:cs="Times New Roman" w:hint="default"/>
      <w:vertAlign w:val="superscript"/>
    </w:rPr>
  </w:style>
  <w:style w:type="character" w:styleId="PageNumber">
    <w:name w:val="page number"/>
    <w:basedOn w:val="DefaultParagraphFont"/>
    <w:uiPriority w:val="99"/>
    <w:semiHidden/>
    <w:unhideWhenUsed/>
    <w:rPr>
      <w:rFonts w:ascii="Times New Roman" w:hAnsi="Times New Roman" w:cs="Times New Roman" w:hint="default"/>
    </w:rPr>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800080"/>
      <w:u w:val="single"/>
    </w:rPr>
  </w:style>
  <w:style w:type="paragraph" w:styleId="Title">
    <w:name w:val="Title"/>
    <w:basedOn w:val="Normal"/>
    <w:next w:val="Normal"/>
    <w:link w:val="TitleChar"/>
    <w:uiPriority w:val="10"/>
    <w:qFormat/>
    <w:rsid w:val="0086065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0654"/>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546552">
      <w:marLeft w:val="0"/>
      <w:marRight w:val="0"/>
      <w:marTop w:val="0"/>
      <w:marBottom w:val="0"/>
      <w:divBdr>
        <w:top w:val="none" w:sz="0" w:space="0" w:color="auto"/>
        <w:left w:val="none" w:sz="0" w:space="0" w:color="auto"/>
        <w:bottom w:val="none" w:sz="0" w:space="0" w:color="auto"/>
        <w:right w:val="none" w:sz="0" w:space="0" w:color="auto"/>
      </w:divBdr>
    </w:div>
    <w:div w:id="904685292">
      <w:marLeft w:val="0"/>
      <w:marRight w:val="0"/>
      <w:marTop w:val="0"/>
      <w:marBottom w:val="0"/>
      <w:divBdr>
        <w:top w:val="none" w:sz="0" w:space="0" w:color="auto"/>
        <w:left w:val="none" w:sz="0" w:space="0" w:color="auto"/>
        <w:bottom w:val="none" w:sz="0" w:space="0" w:color="auto"/>
        <w:right w:val="none" w:sz="0" w:space="0" w:color="auto"/>
      </w:divBdr>
      <w:divsChild>
        <w:div w:id="874271615">
          <w:marLeft w:val="0"/>
          <w:marRight w:val="0"/>
          <w:marTop w:val="0"/>
          <w:marBottom w:val="0"/>
          <w:divBdr>
            <w:top w:val="none" w:sz="0" w:space="0" w:color="auto"/>
            <w:left w:val="none" w:sz="0" w:space="0" w:color="auto"/>
            <w:bottom w:val="none" w:sz="0" w:space="0" w:color="auto"/>
            <w:right w:val="none" w:sz="0" w:space="0" w:color="auto"/>
          </w:divBdr>
        </w:div>
        <w:div w:id="1338652914">
          <w:marLeft w:val="0"/>
          <w:marRight w:val="0"/>
          <w:marTop w:val="0"/>
          <w:marBottom w:val="0"/>
          <w:divBdr>
            <w:top w:val="none" w:sz="0" w:space="0" w:color="auto"/>
            <w:left w:val="none" w:sz="0" w:space="0" w:color="auto"/>
            <w:bottom w:val="none" w:sz="0" w:space="0" w:color="auto"/>
            <w:right w:val="none" w:sz="0" w:space="0" w:color="auto"/>
          </w:divBdr>
        </w:div>
      </w:divsChild>
    </w:div>
    <w:div w:id="1150295282">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549</Words>
  <Characters>2861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Default Normal Template</vt:lpstr>
    </vt:vector>
  </TitlesOfParts>
  <Company/>
  <LinksUpToDate>false</LinksUpToDate>
  <CharactersWithSpaces>3404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Default Normal Template</dc:title>
  <dc:subject/>
  <dc:creator>Melita Shafir</dc:creator>
  <cp:keywords/>
  <dc:description/>
  <cp:lastModifiedBy>Melita Shafir</cp:lastModifiedBy>
  <cp:revision>4</cp:revision>
  <dcterms:created xsi:type="dcterms:W3CDTF">2019-01-16T12:01:00Z</dcterms:created>
  <dcterms:modified xsi:type="dcterms:W3CDTF">2019-01-16T12:02:00Z</dcterms:modified>
</cp:coreProperties>
</file>